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DAB" w14:textId="01961CA4" w:rsidR="00ED1043" w:rsidRDefault="00ED1043" w:rsidP="00407E7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6D5681C" wp14:editId="388D9449">
            <wp:extent cx="882650" cy="741426"/>
            <wp:effectExtent l="0" t="0" r="0" b="1905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71" cy="74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6F48" w14:textId="77777777" w:rsidR="009863E7" w:rsidRPr="009863E7" w:rsidRDefault="009863E7" w:rsidP="00407E71">
      <w:pPr>
        <w:jc w:val="center"/>
        <w:rPr>
          <w:sz w:val="16"/>
          <w:szCs w:val="16"/>
          <w:u w:val="single"/>
        </w:rPr>
      </w:pPr>
    </w:p>
    <w:p w14:paraId="0ABD39C7" w14:textId="418160C2" w:rsidR="00A14F33" w:rsidRPr="00ED1043" w:rsidRDefault="00545DCB" w:rsidP="00407E71">
      <w:pPr>
        <w:jc w:val="center"/>
        <w:rPr>
          <w:sz w:val="28"/>
          <w:szCs w:val="28"/>
          <w:u w:val="single"/>
        </w:rPr>
      </w:pPr>
      <w:r w:rsidRPr="00ED1043">
        <w:rPr>
          <w:sz w:val="28"/>
          <w:szCs w:val="28"/>
          <w:u w:val="single"/>
        </w:rPr>
        <w:t>Imagen de marca en eventos</w:t>
      </w:r>
      <w:r w:rsidR="009E719E">
        <w:rPr>
          <w:sz w:val="28"/>
          <w:szCs w:val="28"/>
          <w:u w:val="single"/>
        </w:rPr>
        <w:t xml:space="preserve"> y ceremonias</w:t>
      </w:r>
    </w:p>
    <w:p w14:paraId="59F7AACE" w14:textId="0D6091E8" w:rsidR="00545DCB" w:rsidRDefault="00545DCB"/>
    <w:p w14:paraId="4CCA286E" w14:textId="4E2FC801" w:rsidR="00545DCB" w:rsidRDefault="00545DCB" w:rsidP="007C629B">
      <w:pPr>
        <w:jc w:val="both"/>
      </w:pPr>
      <w:r>
        <w:t xml:space="preserve">La Universidad Andrés Bello realiza numerosas actividades y eventos durante el año, en formatos presencial y online. Este nuevo </w:t>
      </w:r>
      <w:r w:rsidR="00F21CFB">
        <w:t>manual</w:t>
      </w:r>
      <w:r>
        <w:t xml:space="preserve"> pensado para todo tipo de </w:t>
      </w:r>
      <w:r w:rsidR="00407E71">
        <w:t>eventos</w:t>
      </w:r>
      <w:r>
        <w:t xml:space="preserve"> será un soporte gráfico </w:t>
      </w:r>
      <w:r w:rsidR="00407E71">
        <w:t xml:space="preserve">tanto </w:t>
      </w:r>
      <w:r>
        <w:t>para los organizadores como para las unidades de apoyo</w:t>
      </w:r>
      <w:r w:rsidR="00F21CFB">
        <w:t xml:space="preserve">, buscando con ello transmitir una comunicación y mensaje coherente, aprovechando estas instancias para fortalecer </w:t>
      </w:r>
      <w:r w:rsidR="00397664">
        <w:t xml:space="preserve">la comunicación de la misión y </w:t>
      </w:r>
      <w:r w:rsidR="00F21CFB">
        <w:t xml:space="preserve">atributos de la Universidad. </w:t>
      </w:r>
    </w:p>
    <w:p w14:paraId="41DE9CA0" w14:textId="142B6E95" w:rsidR="00EB5AD4" w:rsidRDefault="00EB5AD4"/>
    <w:p w14:paraId="0DA19BA9" w14:textId="5EBFFE08" w:rsidR="0078680B" w:rsidRPr="007C629B" w:rsidRDefault="00787D22">
      <w:pPr>
        <w:rPr>
          <w:b/>
          <w:bCs/>
        </w:rPr>
      </w:pPr>
      <w:r>
        <w:rPr>
          <w:b/>
          <w:bCs/>
        </w:rPr>
        <w:t xml:space="preserve">Presentaciones, </w:t>
      </w:r>
      <w:proofErr w:type="spellStart"/>
      <w:r>
        <w:rPr>
          <w:b/>
          <w:bCs/>
        </w:rPr>
        <w:t>templates</w:t>
      </w:r>
      <w:proofErr w:type="spellEnd"/>
      <w:r>
        <w:rPr>
          <w:b/>
          <w:bCs/>
        </w:rPr>
        <w:t xml:space="preserve"> y otros</w:t>
      </w:r>
      <w:r w:rsidR="0078680B" w:rsidRPr="007C629B">
        <w:rPr>
          <w:b/>
          <w:bCs/>
        </w:rPr>
        <w:t xml:space="preserve">: </w:t>
      </w:r>
    </w:p>
    <w:p w14:paraId="0E7EC07C" w14:textId="6335DE9B" w:rsidR="00F11197" w:rsidRDefault="0078680B" w:rsidP="007C629B">
      <w:pPr>
        <w:pStyle w:val="Prrafodelista"/>
        <w:numPr>
          <w:ilvl w:val="0"/>
          <w:numId w:val="9"/>
        </w:numPr>
        <w:jc w:val="both"/>
      </w:pPr>
      <w:r>
        <w:t>E</w:t>
      </w:r>
      <w:r w:rsidR="00725286">
        <w:t xml:space="preserve">l </w:t>
      </w:r>
      <w:r w:rsidR="0075459E">
        <w:t>productor/</w:t>
      </w:r>
      <w:r w:rsidR="00725286">
        <w:t xml:space="preserve">organizador </w:t>
      </w:r>
      <w:r w:rsidR="0075459E">
        <w:t>deberá</w:t>
      </w:r>
      <w:r w:rsidR="00725286">
        <w:t xml:space="preserve"> descargar desde la intranet institucional</w:t>
      </w:r>
      <w:r w:rsidR="0075459E">
        <w:t xml:space="preserve">: </w:t>
      </w:r>
      <w:hyperlink r:id="rId6" w:history="1">
        <w:r w:rsidR="007C629B" w:rsidRPr="005B4121">
          <w:rPr>
            <w:rStyle w:val="Hipervnculo"/>
          </w:rPr>
          <w:t>https://intranet2.unab.cl</w:t>
        </w:r>
      </w:hyperlink>
      <w:r w:rsidR="00725286">
        <w:t xml:space="preserve"> los fondos de pantalla </w:t>
      </w:r>
      <w:r w:rsidR="00662DC6">
        <w:t xml:space="preserve">si su evento es online. </w:t>
      </w:r>
      <w:r w:rsidR="00725286">
        <w:t xml:space="preserve">Hay versiones disponibles en diferentes colores. </w:t>
      </w:r>
      <w:r>
        <w:t xml:space="preserve">Si el evento </w:t>
      </w:r>
      <w:r w:rsidR="00E959D2">
        <w:t>lo organiza una Facultad/Instituto o unidad</w:t>
      </w:r>
      <w:r w:rsidR="00F46F51">
        <w:t xml:space="preserve">, y se </w:t>
      </w:r>
      <w:r>
        <w:t>requiere</w:t>
      </w:r>
      <w:r w:rsidR="00F46F51">
        <w:t>n</w:t>
      </w:r>
      <w:r>
        <w:t xml:space="preserve"> fondos de pantalla especiales para la ocasión, estos deben </w:t>
      </w:r>
      <w:r w:rsidR="00E959D2">
        <w:t>incorporar el logo de la Universidad</w:t>
      </w:r>
      <w:r>
        <w:t xml:space="preserve">. </w:t>
      </w:r>
    </w:p>
    <w:p w14:paraId="24A9DCD7" w14:textId="77777777" w:rsidR="00294247" w:rsidRDefault="00294247" w:rsidP="00294247">
      <w:pPr>
        <w:pStyle w:val="Prrafodelista"/>
        <w:jc w:val="both"/>
      </w:pPr>
    </w:p>
    <w:p w14:paraId="130782E2" w14:textId="5BD61F2C" w:rsidR="007241EB" w:rsidRDefault="007241EB" w:rsidP="007C629B">
      <w:pPr>
        <w:pStyle w:val="Prrafodelista"/>
        <w:numPr>
          <w:ilvl w:val="0"/>
          <w:numId w:val="9"/>
        </w:numPr>
        <w:jc w:val="both"/>
      </w:pPr>
      <w:r>
        <w:t>Todo el material gráfico del evento debe realizarse con las unidades correspondientes (institucional o facultades). En caso de haber alguna producción p</w:t>
      </w:r>
      <w:r w:rsidR="00413D6F">
        <w:t>r</w:t>
      </w:r>
      <w:r>
        <w:t xml:space="preserve">opia o con terceros, es imprescindible alinearse al manual de marca institucional, apegarse al manual de uso de logos </w:t>
      </w:r>
      <w:r w:rsidR="00931375">
        <w:t xml:space="preserve">y a las condiciones establecidas en este documento. Todo el material </w:t>
      </w:r>
      <w:r w:rsidR="004707FF">
        <w:t xml:space="preserve">está disponible en la intranet. </w:t>
      </w:r>
    </w:p>
    <w:p w14:paraId="0FDD0FC0" w14:textId="77777777" w:rsidR="00C8302B" w:rsidRDefault="00C8302B" w:rsidP="00C8302B">
      <w:pPr>
        <w:pStyle w:val="Prrafodelista"/>
        <w:jc w:val="both"/>
      </w:pPr>
    </w:p>
    <w:p w14:paraId="2A309C7C" w14:textId="4CB7CD84" w:rsidR="00787D22" w:rsidRPr="00787D22" w:rsidRDefault="00787D22" w:rsidP="00787D22">
      <w:pPr>
        <w:ind w:left="360"/>
        <w:rPr>
          <w:b/>
          <w:bCs/>
        </w:rPr>
      </w:pPr>
      <w:r w:rsidRPr="00787D22">
        <w:rPr>
          <w:b/>
          <w:bCs/>
        </w:rPr>
        <w:t xml:space="preserve">Ceremonias online y presenciales: </w:t>
      </w:r>
    </w:p>
    <w:p w14:paraId="7952A348" w14:textId="049E5C02" w:rsidR="00A73195" w:rsidRDefault="000E2E1F" w:rsidP="00CD5554">
      <w:pPr>
        <w:pStyle w:val="Prrafodelista"/>
        <w:numPr>
          <w:ilvl w:val="0"/>
          <w:numId w:val="9"/>
        </w:numPr>
        <w:jc w:val="both"/>
      </w:pPr>
      <w:r>
        <w:t xml:space="preserve">Junto a lo anterior, y como forma de fortalecer el posicionamiento de la Universidad, en este portal se encontrarán alojados </w:t>
      </w:r>
      <w:r w:rsidR="003461BB">
        <w:t>3</w:t>
      </w:r>
      <w:r>
        <w:t xml:space="preserve"> tipos de videos</w:t>
      </w:r>
      <w:r w:rsidR="00092DBD">
        <w:t>:</w:t>
      </w:r>
      <w:r>
        <w:t xml:space="preserve"> </w:t>
      </w:r>
    </w:p>
    <w:p w14:paraId="724EF152" w14:textId="77777777" w:rsidR="00A73195" w:rsidRDefault="00A73195" w:rsidP="00CD5554">
      <w:pPr>
        <w:pStyle w:val="Prrafodelista"/>
        <w:jc w:val="both"/>
      </w:pPr>
    </w:p>
    <w:p w14:paraId="2256CF7B" w14:textId="10435B93" w:rsidR="00725286" w:rsidRDefault="000E2E1F" w:rsidP="00CD5554">
      <w:pPr>
        <w:pStyle w:val="Prrafodelista"/>
        <w:numPr>
          <w:ilvl w:val="0"/>
          <w:numId w:val="9"/>
        </w:numPr>
        <w:jc w:val="both"/>
      </w:pPr>
      <w:r>
        <w:t>El primero -que durará aproximadamente 3 minutos- debe ser transmitido al comienzo de cada ceremonia (</w:t>
      </w:r>
      <w:r w:rsidR="00A73195">
        <w:t>online o presencial</w:t>
      </w:r>
      <w:r>
        <w:t>)</w:t>
      </w:r>
      <w:r w:rsidR="00A73195">
        <w:t xml:space="preserve">, para ello: </w:t>
      </w:r>
      <w:r w:rsidR="00EB5AD4">
        <w:t xml:space="preserve"> </w:t>
      </w:r>
    </w:p>
    <w:p w14:paraId="0622A441" w14:textId="77777777" w:rsidR="00A73195" w:rsidRDefault="00A73195" w:rsidP="00CD5554">
      <w:pPr>
        <w:pStyle w:val="Prrafodelista"/>
        <w:jc w:val="both"/>
      </w:pPr>
    </w:p>
    <w:p w14:paraId="22122E03" w14:textId="7B0E9070" w:rsidR="00EB5AD4" w:rsidRDefault="00343F5D" w:rsidP="009863E7">
      <w:pPr>
        <w:pStyle w:val="Prrafodelista"/>
        <w:numPr>
          <w:ilvl w:val="0"/>
          <w:numId w:val="10"/>
        </w:numPr>
        <w:ind w:left="1276" w:hanging="360"/>
        <w:jc w:val="both"/>
      </w:pPr>
      <w:r w:rsidRPr="00F82CF9">
        <w:rPr>
          <w:u w:val="single"/>
        </w:rPr>
        <w:t>Eventos online</w:t>
      </w:r>
      <w:r>
        <w:t>: a</w:t>
      </w:r>
      <w:r w:rsidR="00EB5AD4">
        <w:t xml:space="preserve">ntes de iniciar el evento online y comenzar la transmisión, </w:t>
      </w:r>
      <w:r>
        <w:t>se</w:t>
      </w:r>
      <w:r w:rsidR="0075459E">
        <w:t xml:space="preserve"> deberá descargar el video institucional “Aportes”, chequear su funcionamiento, y ajustes de volumen.</w:t>
      </w:r>
    </w:p>
    <w:p w14:paraId="26FF6FF5" w14:textId="0157EC30" w:rsidR="00725286" w:rsidRDefault="0075459E" w:rsidP="009863E7">
      <w:pPr>
        <w:pStyle w:val="Prrafodelista"/>
        <w:ind w:left="1276"/>
        <w:jc w:val="both"/>
      </w:pPr>
      <w:r>
        <w:t xml:space="preserve">Una vez iniciada la </w:t>
      </w:r>
      <w:r w:rsidR="00725286">
        <w:t xml:space="preserve">transmisión el productor/organizador deberá </w:t>
      </w:r>
      <w:r>
        <w:t xml:space="preserve">transmitir el video institucional </w:t>
      </w:r>
      <w:r w:rsidR="00A17129">
        <w:t xml:space="preserve">para luego </w:t>
      </w:r>
      <w:proofErr w:type="gramStart"/>
      <w:r w:rsidR="00A17129">
        <w:t>dar inicio a</w:t>
      </w:r>
      <w:proofErr w:type="gramEnd"/>
      <w:r w:rsidR="00A17129">
        <w:t xml:space="preserve"> la actividad</w:t>
      </w:r>
      <w:r>
        <w:t xml:space="preserve">. </w:t>
      </w:r>
    </w:p>
    <w:p w14:paraId="250C8C9C" w14:textId="77777777" w:rsidR="00F82CF9" w:rsidRDefault="00F82CF9" w:rsidP="009863E7">
      <w:pPr>
        <w:pStyle w:val="Prrafodelista"/>
        <w:ind w:left="1276"/>
        <w:jc w:val="both"/>
      </w:pPr>
    </w:p>
    <w:p w14:paraId="44F4BF09" w14:textId="5596FC9E" w:rsidR="00343F5D" w:rsidRDefault="00343F5D" w:rsidP="009863E7">
      <w:pPr>
        <w:pStyle w:val="Prrafodelista"/>
        <w:numPr>
          <w:ilvl w:val="0"/>
          <w:numId w:val="10"/>
        </w:numPr>
        <w:ind w:left="1276" w:hanging="360"/>
        <w:jc w:val="both"/>
      </w:pPr>
      <w:r w:rsidRPr="00F82CF9">
        <w:rPr>
          <w:u w:val="single"/>
        </w:rPr>
        <w:lastRenderedPageBreak/>
        <w:t>Eventos presenciales</w:t>
      </w:r>
      <w:r>
        <w:t xml:space="preserve">: </w:t>
      </w:r>
    </w:p>
    <w:p w14:paraId="0EFD44B0" w14:textId="77777777" w:rsidR="00C11770" w:rsidRDefault="00C11770" w:rsidP="009863E7">
      <w:pPr>
        <w:pStyle w:val="Prrafodelista"/>
        <w:ind w:left="1276"/>
        <w:jc w:val="both"/>
      </w:pPr>
      <w:r w:rsidRPr="00C11770">
        <w:t>Al dar inicio al evento, el productor/organizador deberá chequear con el encargado audiovisual del auditorio que el video esté cargado en el computador.</w:t>
      </w:r>
    </w:p>
    <w:p w14:paraId="1C66144A" w14:textId="2B53E496" w:rsidR="00C11770" w:rsidRDefault="00C11770" w:rsidP="009863E7">
      <w:pPr>
        <w:pStyle w:val="Prrafodelista"/>
        <w:ind w:left="1276"/>
        <w:jc w:val="both"/>
      </w:pPr>
      <w:r w:rsidRPr="00C11770">
        <w:t xml:space="preserve">Antes de dar la bienvenida o posterior a ésta (queda a decisión de los organizadores), deberán apagarse las luces del auditorio y transmitir el video institucional. Una vez finalizado el video se procederá a </w:t>
      </w:r>
      <w:proofErr w:type="gramStart"/>
      <w:r w:rsidRPr="00C11770">
        <w:t>dar inicio a</w:t>
      </w:r>
      <w:proofErr w:type="gramEnd"/>
      <w:r w:rsidRPr="00C11770">
        <w:t xml:space="preserve"> la actividad.</w:t>
      </w:r>
    </w:p>
    <w:p w14:paraId="2A7C73E9" w14:textId="77777777" w:rsidR="000574EF" w:rsidRDefault="000574EF" w:rsidP="00CD5554">
      <w:pPr>
        <w:pStyle w:val="Prrafodelista"/>
        <w:jc w:val="both"/>
      </w:pPr>
    </w:p>
    <w:p w14:paraId="7D082639" w14:textId="758F2FD2" w:rsidR="00ED1043" w:rsidRDefault="00C96153" w:rsidP="00CD5554">
      <w:pPr>
        <w:pStyle w:val="Prrafodelista"/>
        <w:numPr>
          <w:ilvl w:val="0"/>
          <w:numId w:val="9"/>
        </w:numPr>
        <w:jc w:val="both"/>
      </w:pPr>
      <w:r>
        <w:t xml:space="preserve">El segundo video (denominado </w:t>
      </w:r>
      <w:proofErr w:type="spellStart"/>
      <w:r>
        <w:t>loop</w:t>
      </w:r>
      <w:proofErr w:type="spellEnd"/>
      <w:r>
        <w:t>), que no tendrá audio ni locución, debe utilizarse en los eventos presenciales</w:t>
      </w:r>
      <w:r w:rsidR="00893C33">
        <w:t xml:space="preserve"> </w:t>
      </w:r>
      <w:r w:rsidR="000574EF">
        <w:t xml:space="preserve">en los tiempos de espera previos a cada ceremonia presencial y </w:t>
      </w:r>
      <w:r w:rsidR="00893C33">
        <w:t xml:space="preserve">al cierre del evento, cuando los asistentes se retiran y dirigen al </w:t>
      </w:r>
      <w:proofErr w:type="spellStart"/>
      <w:r w:rsidR="00893C33">
        <w:t>cocktail</w:t>
      </w:r>
      <w:proofErr w:type="spellEnd"/>
      <w:r w:rsidR="00893C33">
        <w:t xml:space="preserve">. En caso de haber pantallas en el lugar del </w:t>
      </w:r>
      <w:proofErr w:type="spellStart"/>
      <w:r w:rsidR="00893C33">
        <w:t>cocktail</w:t>
      </w:r>
      <w:proofErr w:type="spellEnd"/>
      <w:r w:rsidR="00893C33">
        <w:t xml:space="preserve">, éste debe producirse también. </w:t>
      </w:r>
    </w:p>
    <w:p w14:paraId="112A7C0F" w14:textId="77777777" w:rsidR="00C44A81" w:rsidRDefault="00C44A81" w:rsidP="00C44A81">
      <w:pPr>
        <w:pStyle w:val="Prrafodelista"/>
        <w:jc w:val="both"/>
      </w:pPr>
    </w:p>
    <w:p w14:paraId="5D2F4AD3" w14:textId="76DF3D45" w:rsidR="00E96BBB" w:rsidRDefault="00E96BBB" w:rsidP="00CD5554">
      <w:pPr>
        <w:pStyle w:val="Prrafodelista"/>
        <w:numPr>
          <w:ilvl w:val="0"/>
          <w:numId w:val="9"/>
        </w:numPr>
        <w:jc w:val="both"/>
      </w:pPr>
      <w:r>
        <w:t>El tercer video corresponde a</w:t>
      </w:r>
      <w:r w:rsidR="00C44A81">
        <w:t xml:space="preserve"> aquel que establece un protocolo de buen uso de los auditorios por la pandemia. Este video debe ser incorporado en las ceremonias presenciales que se realicen en los auditorio</w:t>
      </w:r>
      <w:r w:rsidR="00793BF5">
        <w:t>s</w:t>
      </w:r>
      <w:r w:rsidR="00C44A81">
        <w:t xml:space="preserve"> internos de la Universidad.  </w:t>
      </w:r>
    </w:p>
    <w:p w14:paraId="39FE9559" w14:textId="77777777" w:rsidR="00BD5A29" w:rsidRDefault="00BD5A29" w:rsidP="00BD5A29">
      <w:pPr>
        <w:pStyle w:val="Prrafodelista"/>
        <w:jc w:val="both"/>
      </w:pPr>
    </w:p>
    <w:p w14:paraId="251AA119" w14:textId="1810078E" w:rsidR="000574EF" w:rsidRPr="009863E7" w:rsidRDefault="009E719E" w:rsidP="009863E7">
      <w:pPr>
        <w:pStyle w:val="Prrafodelista"/>
        <w:numPr>
          <w:ilvl w:val="0"/>
          <w:numId w:val="9"/>
        </w:numPr>
        <w:jc w:val="both"/>
      </w:pPr>
      <w:r w:rsidRPr="009863E7">
        <w:t xml:space="preserve">Respecto del uso de pendones. </w:t>
      </w:r>
    </w:p>
    <w:p w14:paraId="13A5AFA7" w14:textId="5FBEC32F" w:rsidR="00407E71" w:rsidRDefault="00407E71" w:rsidP="009863E7">
      <w:pPr>
        <w:pStyle w:val="Prrafodelista"/>
        <w:numPr>
          <w:ilvl w:val="0"/>
          <w:numId w:val="12"/>
        </w:numPr>
        <w:jc w:val="both"/>
      </w:pPr>
      <w:r>
        <w:t xml:space="preserve">Previo a la realización de cualquier evento presencial, el organizador/productor deberá coordinar con </w:t>
      </w:r>
      <w:r w:rsidR="00F63512">
        <w:t xml:space="preserve">la </w:t>
      </w:r>
      <w:r>
        <w:t xml:space="preserve">unidad </w:t>
      </w:r>
      <w:r w:rsidR="00F63512">
        <w:t xml:space="preserve">que los apoya en </w:t>
      </w:r>
      <w:r w:rsidR="00384FE7">
        <w:t>la gestión d</w:t>
      </w:r>
      <w:r w:rsidR="00F63512">
        <w:t>el evento</w:t>
      </w:r>
      <w:r w:rsidR="00384FE7">
        <w:t>,</w:t>
      </w:r>
      <w:r w:rsidR="00F63512">
        <w:t xml:space="preserve"> </w:t>
      </w:r>
      <w:r>
        <w:t xml:space="preserve">la entrega de </w:t>
      </w:r>
      <w:r w:rsidR="00384FE7">
        <w:t xml:space="preserve">al menos </w:t>
      </w:r>
      <w:r>
        <w:t xml:space="preserve">dos pendones. </w:t>
      </w:r>
    </w:p>
    <w:p w14:paraId="7EF413AD" w14:textId="77777777" w:rsidR="00F82CF9" w:rsidRDefault="00F82CF9" w:rsidP="00F82CF9">
      <w:pPr>
        <w:pStyle w:val="Prrafodelista"/>
        <w:jc w:val="both"/>
      </w:pPr>
    </w:p>
    <w:p w14:paraId="05B92393" w14:textId="46B73EE1" w:rsidR="00A64801" w:rsidRDefault="00CD5554" w:rsidP="009863E7">
      <w:pPr>
        <w:pStyle w:val="Prrafodelista"/>
        <w:numPr>
          <w:ilvl w:val="0"/>
          <w:numId w:val="12"/>
        </w:numPr>
        <w:jc w:val="both"/>
      </w:pPr>
      <w:r>
        <w:t>El</w:t>
      </w:r>
      <w:r w:rsidR="00B70BAB">
        <w:t xml:space="preserve"> productor/organizador deberá instalar un pendón en el ingreso al salón o junto a la mesa de acreditación</w:t>
      </w:r>
      <w:r w:rsidR="00A64801">
        <w:t>, estos pendones cumplen el objetivo de mostrar a la Facultad o Unidad correspondiente, asociándola a la Universidad</w:t>
      </w:r>
      <w:r w:rsidR="00B70BAB">
        <w:t xml:space="preserve">. </w:t>
      </w:r>
    </w:p>
    <w:p w14:paraId="4E01D1E9" w14:textId="77777777" w:rsidR="00F82CF9" w:rsidRDefault="00F82CF9" w:rsidP="00F82CF9">
      <w:pPr>
        <w:pStyle w:val="Prrafodelista"/>
        <w:jc w:val="both"/>
      </w:pPr>
    </w:p>
    <w:p w14:paraId="43B04471" w14:textId="74A3E129" w:rsidR="00910F4C" w:rsidRDefault="00B70BAB" w:rsidP="009863E7">
      <w:pPr>
        <w:pStyle w:val="Prrafodelista"/>
        <w:numPr>
          <w:ilvl w:val="0"/>
          <w:numId w:val="12"/>
        </w:numPr>
        <w:jc w:val="both"/>
      </w:pPr>
      <w:r>
        <w:t>El otro pendón deberá ubicarlo a un costado del escenario del auditorio.</w:t>
      </w:r>
      <w:r w:rsidR="00ED4087">
        <w:t xml:space="preserve"> </w:t>
      </w:r>
    </w:p>
    <w:p w14:paraId="1B7C0EFE" w14:textId="77777777" w:rsidR="00F82CF9" w:rsidRDefault="00F82CF9" w:rsidP="00F82CF9">
      <w:pPr>
        <w:pStyle w:val="Prrafodelista"/>
        <w:jc w:val="both"/>
      </w:pPr>
    </w:p>
    <w:p w14:paraId="79AF6E56" w14:textId="47186C7E" w:rsidR="00ED1043" w:rsidRDefault="00910F4C" w:rsidP="009863E7">
      <w:pPr>
        <w:pStyle w:val="Prrafodelista"/>
        <w:numPr>
          <w:ilvl w:val="0"/>
          <w:numId w:val="12"/>
        </w:numPr>
        <w:jc w:val="both"/>
      </w:pPr>
      <w:r>
        <w:t>Lo anterior es un complemento a</w:t>
      </w:r>
      <w:r w:rsidR="00ED4087">
        <w:t xml:space="preserve"> otras propuestas gráficas que puedan hacerse con objeto de la ceremonia. </w:t>
      </w:r>
      <w:proofErr w:type="gramStart"/>
      <w:r>
        <w:t>En caso que</w:t>
      </w:r>
      <w:proofErr w:type="gramEnd"/>
      <w:r>
        <w:t xml:space="preserve"> las otras propuestas gráficas aborden también la marca institucional, estos pendones pueden ser reemplazados. </w:t>
      </w:r>
    </w:p>
    <w:p w14:paraId="199B109B" w14:textId="77777777" w:rsidR="00E1733D" w:rsidRDefault="00E1733D" w:rsidP="00E1733D">
      <w:pPr>
        <w:pStyle w:val="Prrafodelista"/>
      </w:pPr>
    </w:p>
    <w:p w14:paraId="50217D0D" w14:textId="6FFB47AF" w:rsidR="00BB2446" w:rsidRDefault="00E1733D" w:rsidP="00BB2446">
      <w:pPr>
        <w:pStyle w:val="Prrafodelista"/>
        <w:numPr>
          <w:ilvl w:val="0"/>
          <w:numId w:val="14"/>
        </w:numPr>
      </w:pPr>
      <w:r>
        <w:t xml:space="preserve">En el siguiente </w:t>
      </w:r>
      <w:proofErr w:type="gramStart"/>
      <w:r>
        <w:t>link</w:t>
      </w:r>
      <w:proofErr w:type="gramEnd"/>
      <w:r>
        <w:t xml:space="preserve">, podrá encontrar también una serie de recomendaciones </w:t>
      </w:r>
      <w:r w:rsidR="00BB2446">
        <w:t xml:space="preserve">de nuestra Dirección de Producción Institucional </w:t>
      </w:r>
      <w:r>
        <w:t>para la organización de eventos o presentaciones en formato online. Así también, varias recomendaciones en torno al protocolo de este tipo de eventos</w:t>
      </w:r>
      <w:r w:rsidR="00BB2446">
        <w:t xml:space="preserve"> que pueden ser de su interés</w:t>
      </w:r>
      <w:r>
        <w:t>.</w:t>
      </w:r>
      <w:r w:rsidR="00BB2446" w:rsidRPr="00BB2446">
        <w:t xml:space="preserve"> </w:t>
      </w:r>
      <w:hyperlink r:id="rId7" w:history="1">
        <w:r w:rsidR="00BB2446">
          <w:rPr>
            <w:rStyle w:val="Hipervnculo"/>
          </w:rPr>
          <w:t>https://www.youtube.com/watch?v=HPixP4XSYtY&amp;list=PL_ERhcB-HYr6j51EFGwOWi1MiRCJBjTrT</w:t>
        </w:r>
      </w:hyperlink>
    </w:p>
    <w:p w14:paraId="0F06F96A" w14:textId="2FC7362A" w:rsidR="00E1733D" w:rsidRDefault="00E1733D" w:rsidP="00BB2446">
      <w:pPr>
        <w:jc w:val="both"/>
      </w:pPr>
    </w:p>
    <w:sectPr w:rsidR="00E17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FF"/>
    <w:multiLevelType w:val="hybridMultilevel"/>
    <w:tmpl w:val="6A5EFEF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51A5"/>
    <w:multiLevelType w:val="hybridMultilevel"/>
    <w:tmpl w:val="BE9A8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A05"/>
    <w:multiLevelType w:val="hybridMultilevel"/>
    <w:tmpl w:val="4FFAB4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2709"/>
    <w:multiLevelType w:val="hybridMultilevel"/>
    <w:tmpl w:val="61D82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360"/>
    <w:multiLevelType w:val="hybridMultilevel"/>
    <w:tmpl w:val="9AFAE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70B"/>
    <w:multiLevelType w:val="hybridMultilevel"/>
    <w:tmpl w:val="41167D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3131"/>
    <w:multiLevelType w:val="hybridMultilevel"/>
    <w:tmpl w:val="094E50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3D92"/>
    <w:multiLevelType w:val="hybridMultilevel"/>
    <w:tmpl w:val="93E2E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64FB"/>
    <w:multiLevelType w:val="hybridMultilevel"/>
    <w:tmpl w:val="8CA062DA"/>
    <w:lvl w:ilvl="0" w:tplc="34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484" w:hanging="360"/>
      </w:pPr>
    </w:lvl>
    <w:lvl w:ilvl="2" w:tplc="FFFFFFFF" w:tentative="1">
      <w:start w:val="1"/>
      <w:numFmt w:val="lowerRoman"/>
      <w:lvlText w:val="%3."/>
      <w:lvlJc w:val="right"/>
      <w:pPr>
        <w:ind w:left="3204" w:hanging="180"/>
      </w:pPr>
    </w:lvl>
    <w:lvl w:ilvl="3" w:tplc="FFFFFFFF" w:tentative="1">
      <w:start w:val="1"/>
      <w:numFmt w:val="decimal"/>
      <w:lvlText w:val="%4."/>
      <w:lvlJc w:val="left"/>
      <w:pPr>
        <w:ind w:left="3924" w:hanging="360"/>
      </w:pPr>
    </w:lvl>
    <w:lvl w:ilvl="4" w:tplc="FFFFFFFF" w:tentative="1">
      <w:start w:val="1"/>
      <w:numFmt w:val="lowerLetter"/>
      <w:lvlText w:val="%5."/>
      <w:lvlJc w:val="left"/>
      <w:pPr>
        <w:ind w:left="4644" w:hanging="360"/>
      </w:pPr>
    </w:lvl>
    <w:lvl w:ilvl="5" w:tplc="FFFFFFFF" w:tentative="1">
      <w:start w:val="1"/>
      <w:numFmt w:val="lowerRoman"/>
      <w:lvlText w:val="%6."/>
      <w:lvlJc w:val="right"/>
      <w:pPr>
        <w:ind w:left="5364" w:hanging="180"/>
      </w:pPr>
    </w:lvl>
    <w:lvl w:ilvl="6" w:tplc="FFFFFFFF" w:tentative="1">
      <w:start w:val="1"/>
      <w:numFmt w:val="decimal"/>
      <w:lvlText w:val="%7."/>
      <w:lvlJc w:val="left"/>
      <w:pPr>
        <w:ind w:left="6084" w:hanging="360"/>
      </w:pPr>
    </w:lvl>
    <w:lvl w:ilvl="7" w:tplc="FFFFFFFF" w:tentative="1">
      <w:start w:val="1"/>
      <w:numFmt w:val="lowerLetter"/>
      <w:lvlText w:val="%8."/>
      <w:lvlJc w:val="left"/>
      <w:pPr>
        <w:ind w:left="6804" w:hanging="360"/>
      </w:pPr>
    </w:lvl>
    <w:lvl w:ilvl="8" w:tplc="FFFFFFFF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6C9861B4"/>
    <w:multiLevelType w:val="hybridMultilevel"/>
    <w:tmpl w:val="851AC3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3E08"/>
    <w:multiLevelType w:val="hybridMultilevel"/>
    <w:tmpl w:val="F1AE2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089B"/>
    <w:multiLevelType w:val="hybridMultilevel"/>
    <w:tmpl w:val="55FE4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C313E"/>
    <w:multiLevelType w:val="hybridMultilevel"/>
    <w:tmpl w:val="094E5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520EF"/>
    <w:multiLevelType w:val="hybridMultilevel"/>
    <w:tmpl w:val="93D0F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B"/>
    <w:rsid w:val="00012AEA"/>
    <w:rsid w:val="0002520D"/>
    <w:rsid w:val="00055446"/>
    <w:rsid w:val="000574EF"/>
    <w:rsid w:val="00092DBD"/>
    <w:rsid w:val="000D6A49"/>
    <w:rsid w:val="000E2E1F"/>
    <w:rsid w:val="000F220B"/>
    <w:rsid w:val="00124272"/>
    <w:rsid w:val="00156EA4"/>
    <w:rsid w:val="00245E5F"/>
    <w:rsid w:val="00294247"/>
    <w:rsid w:val="00343F5D"/>
    <w:rsid w:val="003461BB"/>
    <w:rsid w:val="00384FE7"/>
    <w:rsid w:val="00397664"/>
    <w:rsid w:val="003D256E"/>
    <w:rsid w:val="00406792"/>
    <w:rsid w:val="00407E71"/>
    <w:rsid w:val="00413D6F"/>
    <w:rsid w:val="0041647B"/>
    <w:rsid w:val="004363D3"/>
    <w:rsid w:val="004707FF"/>
    <w:rsid w:val="004D38C4"/>
    <w:rsid w:val="0050289B"/>
    <w:rsid w:val="005453DF"/>
    <w:rsid w:val="00545DCB"/>
    <w:rsid w:val="005628F5"/>
    <w:rsid w:val="0059124A"/>
    <w:rsid w:val="00615A8A"/>
    <w:rsid w:val="00662DC6"/>
    <w:rsid w:val="006F1A25"/>
    <w:rsid w:val="007241EB"/>
    <w:rsid w:val="00725286"/>
    <w:rsid w:val="00750081"/>
    <w:rsid w:val="0075459E"/>
    <w:rsid w:val="0078300C"/>
    <w:rsid w:val="0078680B"/>
    <w:rsid w:val="00787D22"/>
    <w:rsid w:val="00793BF5"/>
    <w:rsid w:val="007C629B"/>
    <w:rsid w:val="007D281C"/>
    <w:rsid w:val="00893C33"/>
    <w:rsid w:val="00910F4C"/>
    <w:rsid w:val="00931375"/>
    <w:rsid w:val="009348A5"/>
    <w:rsid w:val="009863E7"/>
    <w:rsid w:val="009E719E"/>
    <w:rsid w:val="00A14F33"/>
    <w:rsid w:val="00A17129"/>
    <w:rsid w:val="00A64801"/>
    <w:rsid w:val="00A73195"/>
    <w:rsid w:val="00A762CB"/>
    <w:rsid w:val="00A81E1D"/>
    <w:rsid w:val="00B13A91"/>
    <w:rsid w:val="00B1741D"/>
    <w:rsid w:val="00B70BAB"/>
    <w:rsid w:val="00BB1D3D"/>
    <w:rsid w:val="00BB2446"/>
    <w:rsid w:val="00BD5A29"/>
    <w:rsid w:val="00C11770"/>
    <w:rsid w:val="00C44A81"/>
    <w:rsid w:val="00C8302B"/>
    <w:rsid w:val="00C96153"/>
    <w:rsid w:val="00CD5554"/>
    <w:rsid w:val="00DC0644"/>
    <w:rsid w:val="00DE2D97"/>
    <w:rsid w:val="00E1733D"/>
    <w:rsid w:val="00E528EA"/>
    <w:rsid w:val="00E959D2"/>
    <w:rsid w:val="00E96BBB"/>
    <w:rsid w:val="00EB5AD4"/>
    <w:rsid w:val="00ED1043"/>
    <w:rsid w:val="00ED4087"/>
    <w:rsid w:val="00F11197"/>
    <w:rsid w:val="00F21CFB"/>
    <w:rsid w:val="00F46F51"/>
    <w:rsid w:val="00F63512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07DF"/>
  <w15:chartTrackingRefBased/>
  <w15:docId w15:val="{C95075DA-AAEF-4ED3-9190-B234C6F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2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28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628F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62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ixP4XSYtY&amp;list=PL_ERhcB-HYr6j51EFGwOWi1MiRCJBjT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2.unab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Duran Magnere</dc:creator>
  <cp:keywords/>
  <dc:description/>
  <cp:lastModifiedBy>Paola Alejandra Jarur Chamy</cp:lastModifiedBy>
  <cp:revision>70</cp:revision>
  <dcterms:created xsi:type="dcterms:W3CDTF">2022-01-26T18:50:00Z</dcterms:created>
  <dcterms:modified xsi:type="dcterms:W3CDTF">2022-01-29T19:48:00Z</dcterms:modified>
</cp:coreProperties>
</file>